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37EA92" w14:textId="77777777" w:rsidR="00906B27" w:rsidRPr="00906B27" w:rsidRDefault="00906B27" w:rsidP="00906B27">
      <w:pPr>
        <w:shd w:val="clear" w:color="auto" w:fill="F3F2EF"/>
        <w:spacing w:after="300" w:line="300" w:lineRule="atLeast"/>
        <w:ind w:right="3300" w:firstLine="0"/>
        <w:jc w:val="left"/>
        <w:outlineLvl w:val="0"/>
        <w:rPr>
          <w:rFonts w:ascii="Arial" w:eastAsia="Times New Roman" w:hAnsi="Arial" w:cs="Arial"/>
          <w:b/>
          <w:bCs/>
          <w:color w:val="ED1C3F"/>
          <w:kern w:val="36"/>
          <w:sz w:val="45"/>
          <w:szCs w:val="45"/>
          <w:lang w:eastAsia="ru-RU"/>
        </w:rPr>
      </w:pPr>
      <w:r w:rsidRPr="00906B27">
        <w:rPr>
          <w:rFonts w:ascii="Arial" w:eastAsia="Times New Roman" w:hAnsi="Arial" w:cs="Arial"/>
          <w:b/>
          <w:bCs/>
          <w:color w:val="ED1C3F"/>
          <w:kern w:val="36"/>
          <w:sz w:val="45"/>
          <w:szCs w:val="45"/>
          <w:lang w:eastAsia="ru-RU"/>
        </w:rPr>
        <w:t>"Доклад-презентация и дискуссия 4"</w:t>
      </w:r>
    </w:p>
    <w:p w14:paraId="4D5C8CA3" w14:textId="77777777" w:rsidR="00906B27" w:rsidRPr="00906B27" w:rsidRDefault="00906B27" w:rsidP="00906B27">
      <w:pPr>
        <w:shd w:val="clear" w:color="auto" w:fill="FFFFFF"/>
        <w:ind w:firstLine="0"/>
        <w:jc w:val="left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906B27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14:paraId="728C2825" w14:textId="77777777" w:rsidR="00906B27" w:rsidRPr="00906B27" w:rsidRDefault="00906B27" w:rsidP="00906B27">
      <w:pPr>
        <w:shd w:val="clear" w:color="auto" w:fill="FFFFFF"/>
        <w:spacing w:after="240"/>
        <w:ind w:firstLine="0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Семинар по теме 6</w:t>
      </w:r>
    </w:p>
    <w:p w14:paraId="05ED18F8" w14:textId="77777777" w:rsidR="00906B27" w:rsidRPr="00906B27" w:rsidRDefault="00906B27" w:rsidP="00906B27">
      <w:pPr>
        <w:shd w:val="clear" w:color="auto" w:fill="FFFFFF"/>
        <w:spacing w:after="240"/>
        <w:ind w:firstLine="0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b/>
          <w:bCs/>
          <w:i/>
          <w:iCs/>
          <w:color w:val="292929"/>
          <w:sz w:val="21"/>
          <w:szCs w:val="21"/>
          <w:lang w:eastAsia="ru-RU"/>
        </w:rPr>
        <w:t>Методические указания для обучающихся при работе на семинаре</w:t>
      </w:r>
    </w:p>
    <w:p w14:paraId="73E38994" w14:textId="77777777" w:rsidR="00906B27" w:rsidRPr="00906B27" w:rsidRDefault="00906B27" w:rsidP="00906B27">
      <w:pPr>
        <w:shd w:val="clear" w:color="auto" w:fill="FFFFFF"/>
        <w:spacing w:after="240"/>
        <w:ind w:firstLine="0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Семинары выполняются в соответствии с рабочим учебным планом при последовательном изучении тем дисциплины.</w:t>
      </w:r>
    </w:p>
    <w:p w14:paraId="7B21E866" w14:textId="77777777" w:rsidR="00906B27" w:rsidRPr="00906B27" w:rsidRDefault="00906B27" w:rsidP="00906B27">
      <w:pPr>
        <w:shd w:val="clear" w:color="auto" w:fill="FFFFFF"/>
        <w:spacing w:after="240"/>
        <w:ind w:firstLine="0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i/>
          <w:iCs/>
          <w:color w:val="000000"/>
          <w:sz w:val="21"/>
          <w:szCs w:val="21"/>
          <w:lang w:eastAsia="ru-RU"/>
        </w:rPr>
        <w:t>Порядок проведения семинара.</w:t>
      </w:r>
    </w:p>
    <w:p w14:paraId="5EDD9826" w14:textId="77777777" w:rsidR="00906B27" w:rsidRPr="00906B27" w:rsidRDefault="00906B27" w:rsidP="00906B27">
      <w:pPr>
        <w:numPr>
          <w:ilvl w:val="0"/>
          <w:numId w:val="2"/>
        </w:numPr>
        <w:shd w:val="clear" w:color="auto" w:fill="FFFFFF"/>
        <w:spacing w:before="100" w:beforeAutospacing="1" w:after="150"/>
        <w:ind w:left="675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преподаватель предварительно распределяет задания между обучаемыми (доклады и сообщения);</w:t>
      </w:r>
    </w:p>
    <w:p w14:paraId="7622D6D3" w14:textId="77777777" w:rsidR="00906B27" w:rsidRPr="00906B27" w:rsidRDefault="00906B27" w:rsidP="00906B27">
      <w:pPr>
        <w:numPr>
          <w:ilvl w:val="0"/>
          <w:numId w:val="2"/>
        </w:numPr>
        <w:shd w:val="clear" w:color="auto" w:fill="FFFFFF"/>
        <w:spacing w:before="100" w:beforeAutospacing="1" w:after="150"/>
        <w:ind w:left="675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преподаватель предварительно сообщает обучающимся перечень вопросов, подлежащих рассмотрению на семинаре, и/или темы сообщений/докладов, а также перечень литературных/информационных источников, рекомендуемых для дополнительного углубленного изучения рассматриваемых на семинаре вопросов;</w:t>
      </w:r>
    </w:p>
    <w:p w14:paraId="31984182" w14:textId="77777777" w:rsidR="00906B27" w:rsidRPr="00906B27" w:rsidRDefault="00906B27" w:rsidP="00906B27">
      <w:pPr>
        <w:numPr>
          <w:ilvl w:val="0"/>
          <w:numId w:val="2"/>
        </w:numPr>
        <w:shd w:val="clear" w:color="auto" w:fill="FFFFFF"/>
        <w:spacing w:before="100" w:beforeAutospacing="1" w:after="150"/>
        <w:ind w:left="675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заслушивается заранее подготовленный одним или несколькими обучаемыми доклад или сообщение, по завершении которого преподавателем организуется его обсуждение;</w:t>
      </w:r>
    </w:p>
    <w:p w14:paraId="3915DE96" w14:textId="77777777" w:rsidR="00906B27" w:rsidRPr="00906B27" w:rsidRDefault="00906B27" w:rsidP="00906B27">
      <w:pPr>
        <w:shd w:val="clear" w:color="auto" w:fill="FFFFFF"/>
        <w:spacing w:after="240"/>
        <w:ind w:firstLine="0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t>4. в ходе обсуждения докладов/выступлений преподаватель стимулирует возникновение дискуссии по обсуждаемым вопросам и ее реализацию в управляемых условиях.</w:t>
      </w:r>
    </w:p>
    <w:p w14:paraId="1708E97A" w14:textId="77777777" w:rsidR="00906B27" w:rsidRPr="00906B27" w:rsidRDefault="00906B27" w:rsidP="00906B27">
      <w:pPr>
        <w:shd w:val="clear" w:color="auto" w:fill="FFFFFF"/>
        <w:ind w:firstLine="0"/>
        <w:jc w:val="left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906B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Подготовка студента к участию в семинаре состоит в выборе темы своего выступления, подготовке доклада (презентации), выступлении на семинаре, ответах на вопросы, участии в дискуссии. При подготовке доклада (презентации) студент руководствуется учебником (основной литературой), </w:t>
      </w:r>
      <w:proofErr w:type="gramStart"/>
      <w:r w:rsidRPr="00906B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привлекает  дополнительные</w:t>
      </w:r>
      <w:proofErr w:type="gramEnd"/>
      <w:r w:rsidRPr="00906B27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источники и литературу, подбирает свежие данные, цифры, факты в печатных изданиях, в Интернете.</w:t>
      </w:r>
    </w:p>
    <w:p w14:paraId="4BF19DA6" w14:textId="77777777" w:rsidR="00906B27" w:rsidRDefault="00906B27" w:rsidP="00EB46E1">
      <w:pPr>
        <w:keepNext/>
        <w:tabs>
          <w:tab w:val="left" w:pos="992"/>
          <w:tab w:val="left" w:pos="1080"/>
        </w:tabs>
        <w:ind w:firstLine="720"/>
        <w:rPr>
          <w:i/>
          <w:snapToGrid w:val="0"/>
          <w:szCs w:val="28"/>
          <w:lang w:eastAsia="ru-RU"/>
        </w:rPr>
      </w:pPr>
    </w:p>
    <w:p w14:paraId="0F39C937" w14:textId="77777777" w:rsidR="00906B27" w:rsidRDefault="00906B27" w:rsidP="00EB46E1">
      <w:pPr>
        <w:keepNext/>
        <w:tabs>
          <w:tab w:val="left" w:pos="992"/>
          <w:tab w:val="left" w:pos="1080"/>
        </w:tabs>
        <w:ind w:firstLine="720"/>
        <w:rPr>
          <w:i/>
          <w:snapToGrid w:val="0"/>
          <w:szCs w:val="28"/>
          <w:lang w:eastAsia="ru-RU"/>
        </w:rPr>
      </w:pPr>
    </w:p>
    <w:p w14:paraId="7A5D0A1B" w14:textId="77777777" w:rsidR="00EB46E1" w:rsidRPr="00906B27" w:rsidRDefault="00EB46E1" w:rsidP="00EB46E1">
      <w:pPr>
        <w:keepNext/>
        <w:tabs>
          <w:tab w:val="left" w:pos="992"/>
          <w:tab w:val="left" w:pos="1080"/>
        </w:tabs>
        <w:ind w:firstLine="720"/>
        <w:rPr>
          <w:i/>
          <w:color w:val="FF0000"/>
          <w:szCs w:val="28"/>
          <w:lang w:eastAsia="ru-RU"/>
        </w:rPr>
      </w:pPr>
      <w:r w:rsidRPr="00906B27">
        <w:rPr>
          <w:i/>
          <w:snapToGrid w:val="0"/>
          <w:color w:val="FF0000"/>
          <w:szCs w:val="28"/>
          <w:lang w:eastAsia="ru-RU"/>
        </w:rPr>
        <w:t xml:space="preserve">Тема 6. </w:t>
      </w:r>
      <w:r w:rsidRPr="00906B27">
        <w:rPr>
          <w:i/>
          <w:color w:val="FF0000"/>
          <w:szCs w:val="28"/>
          <w:lang w:eastAsia="ru-RU"/>
        </w:rPr>
        <w:t>Экономика стран Латинской Америки.</w:t>
      </w:r>
    </w:p>
    <w:p w14:paraId="36E909A4" w14:textId="77777777" w:rsidR="00906B27" w:rsidRPr="00C30E5E" w:rsidRDefault="00906B27" w:rsidP="00EB46E1">
      <w:pPr>
        <w:keepNext/>
        <w:tabs>
          <w:tab w:val="left" w:pos="992"/>
          <w:tab w:val="left" w:pos="1080"/>
        </w:tabs>
        <w:ind w:firstLine="720"/>
        <w:rPr>
          <w:i/>
          <w:szCs w:val="28"/>
          <w:lang w:eastAsia="ru-RU"/>
        </w:rPr>
      </w:pPr>
    </w:p>
    <w:p w14:paraId="5E59B846" w14:textId="77777777" w:rsidR="00EB46E1" w:rsidRPr="00C30E5E" w:rsidRDefault="00EB46E1" w:rsidP="00EB46E1">
      <w:pPr>
        <w:keepNext/>
        <w:numPr>
          <w:ilvl w:val="0"/>
          <w:numId w:val="1"/>
        </w:numPr>
        <w:tabs>
          <w:tab w:val="left" w:pos="1080"/>
        </w:tabs>
        <w:ind w:left="0" w:firstLine="720"/>
        <w:contextualSpacing/>
        <w:rPr>
          <w:szCs w:val="28"/>
        </w:rPr>
      </w:pPr>
      <w:r w:rsidRPr="00C30E5E">
        <w:rPr>
          <w:szCs w:val="28"/>
        </w:rPr>
        <w:t xml:space="preserve">Сущность модели импортозамещения и результаты ее использования в странах Латинской Америки (Аргентина и Мексика). </w:t>
      </w:r>
    </w:p>
    <w:p w14:paraId="32FF490C" w14:textId="77777777" w:rsidR="00EB46E1" w:rsidRPr="00C30E5E" w:rsidRDefault="00EB46E1" w:rsidP="00EB46E1">
      <w:pPr>
        <w:keepNext/>
        <w:numPr>
          <w:ilvl w:val="0"/>
          <w:numId w:val="1"/>
        </w:numPr>
        <w:tabs>
          <w:tab w:val="left" w:pos="1080"/>
        </w:tabs>
        <w:ind w:left="0" w:firstLine="720"/>
        <w:contextualSpacing/>
        <w:rPr>
          <w:szCs w:val="28"/>
        </w:rPr>
      </w:pPr>
      <w:r w:rsidRPr="00C30E5E">
        <w:rPr>
          <w:szCs w:val="28"/>
        </w:rPr>
        <w:t>«Креольский неоли</w:t>
      </w:r>
      <w:bookmarkStart w:id="0" w:name="_GoBack"/>
      <w:bookmarkEnd w:id="0"/>
      <w:r w:rsidRPr="00C30E5E">
        <w:rPr>
          <w:szCs w:val="28"/>
        </w:rPr>
        <w:t>берализм» и реформы в странах Латинской Америки.</w:t>
      </w:r>
    </w:p>
    <w:p w14:paraId="06A20F41" w14:textId="77777777" w:rsidR="00EB46E1" w:rsidRPr="00C30E5E" w:rsidRDefault="00EB46E1" w:rsidP="00EB46E1">
      <w:pPr>
        <w:keepNext/>
        <w:numPr>
          <w:ilvl w:val="0"/>
          <w:numId w:val="1"/>
        </w:numPr>
        <w:tabs>
          <w:tab w:val="left" w:pos="1080"/>
        </w:tabs>
        <w:ind w:left="0" w:firstLine="720"/>
        <w:contextualSpacing/>
        <w:rPr>
          <w:szCs w:val="28"/>
        </w:rPr>
      </w:pPr>
      <w:r w:rsidRPr="00C30E5E">
        <w:rPr>
          <w:szCs w:val="28"/>
        </w:rPr>
        <w:t xml:space="preserve">Особенности развития мексиканской экономики. Мексиканский кризис 1994 г. и «эффект текилы». </w:t>
      </w:r>
    </w:p>
    <w:p w14:paraId="122FE571" w14:textId="77777777" w:rsidR="00EB46E1" w:rsidRPr="00C30E5E" w:rsidRDefault="00EB46E1" w:rsidP="00EB46E1">
      <w:pPr>
        <w:keepNext/>
        <w:numPr>
          <w:ilvl w:val="0"/>
          <w:numId w:val="1"/>
        </w:numPr>
        <w:tabs>
          <w:tab w:val="left" w:pos="1080"/>
        </w:tabs>
        <w:ind w:left="0" w:firstLine="720"/>
        <w:contextualSpacing/>
        <w:rPr>
          <w:i/>
          <w:szCs w:val="28"/>
          <w:u w:val="single"/>
          <w:lang w:eastAsia="ru-RU"/>
        </w:rPr>
      </w:pPr>
      <w:r w:rsidRPr="00C30E5E">
        <w:rPr>
          <w:szCs w:val="28"/>
        </w:rPr>
        <w:t xml:space="preserve">Бразилия в системе мирового хозяйства: современные макроэкономические показатели Бразилии и ее место в мировой экономике. </w:t>
      </w:r>
    </w:p>
    <w:p w14:paraId="73968654" w14:textId="77777777" w:rsidR="002419CC" w:rsidRDefault="002419CC"/>
    <w:sectPr w:rsidR="00241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F2AC8"/>
    <w:multiLevelType w:val="hybridMultilevel"/>
    <w:tmpl w:val="0AAEF95A"/>
    <w:lvl w:ilvl="0" w:tplc="9028BB6A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1" w15:restartNumberingAfterBreak="0">
    <w:nsid w:val="68030B17"/>
    <w:multiLevelType w:val="multilevel"/>
    <w:tmpl w:val="4BB8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E1"/>
    <w:rsid w:val="002419CC"/>
    <w:rsid w:val="00906B27"/>
    <w:rsid w:val="00A75D1C"/>
    <w:rsid w:val="00EB46E1"/>
    <w:rsid w:val="00F7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A587"/>
  <w15:chartTrackingRefBased/>
  <w15:docId w15:val="{5F013D6E-2036-5340-A8FA-7C5123A7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E1"/>
    <w:pPr>
      <w:ind w:firstLine="709"/>
      <w:jc w:val="both"/>
    </w:pPr>
    <w:rPr>
      <w:rFonts w:ascii="Times New Roman" w:hAnsi="Times New Roman" w:cs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2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59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single" w:sz="6" w:space="19" w:color="E2E0DB"/>
            <w:right w:val="none" w:sz="0" w:space="0" w:color="auto"/>
          </w:divBdr>
          <w:divsChild>
            <w:div w:id="610820136">
              <w:marLeft w:val="300"/>
              <w:marRight w:val="30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682156">
              <w:marLeft w:val="300"/>
              <w:marRight w:val="30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2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292724">
              <w:marLeft w:val="300"/>
              <w:marRight w:val="30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381763">
              <w:marLeft w:val="300"/>
              <w:marRight w:val="30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6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05418">
              <w:marLeft w:val="300"/>
              <w:marRight w:val="30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191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Петрович Господарик</dc:creator>
  <cp:keywords/>
  <dc:description/>
  <cp:lastModifiedBy>TOSHIBA</cp:lastModifiedBy>
  <cp:revision>2</cp:revision>
  <dcterms:created xsi:type="dcterms:W3CDTF">2021-05-03T07:08:00Z</dcterms:created>
  <dcterms:modified xsi:type="dcterms:W3CDTF">2021-05-03T07:08:00Z</dcterms:modified>
</cp:coreProperties>
</file>